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spacing w:before="8"/>
        <w:ind w:left="0"/>
        <w:rPr>
          <w:rFonts w:ascii="Times New Roman"/>
          <w:sz w:val="11"/>
        </w:rPr>
      </w:pPr>
    </w:p>
    <w:p>
      <w:pPr>
        <w:pStyle w:val="3"/>
        <w:ind w:left="112"/>
        <w:rPr>
          <w:rFonts w:ascii="Times New Roman"/>
          <w:sz w:val="20"/>
        </w:rPr>
      </w:pPr>
      <w:r>
        <w:rPr>
          <w:rFonts w:ascii="Times New Roman"/>
          <w:sz w:val="20"/>
        </w:rPr>
        <w:pict>
          <v:group id="_x0000_s1026" o:spid="_x0000_s1026" o:spt="203" style="height:64.05pt;width:462pt;" coordsize="9240,1281">
            <o:lock v:ext="edit"/>
            <v:shape id="_x0000_s1027" o:spid="_x0000_s1027" o:spt="75" type="#_x0000_t75" style="position:absolute;left:0;top:0;height:1155;width:9240;" filled="f" stroked="f" coordsize="21600,21600">
              <v:path/>
              <v:fill on="f" focussize="0,0"/>
              <v:stroke on="f"/>
              <v:imagedata r:id="rId4" o:title=""/>
              <o:lock v:ext="edit" aspectratio="t"/>
            </v:shape>
            <v:shape id="_x0000_s1028" o:spid="_x0000_s1028" o:spt="202" type="#_x0000_t202" style="position:absolute;left:0;top:0;height:1281;width:9240;" filled="f" stroked="f" coordsize="21600,21600">
              <v:path/>
              <v:fill on="f" focussize="0,0"/>
              <v:stroke on="f" joinstyle="miter"/>
              <v:imagedata o:title=""/>
              <o:lock v:ext="edit"/>
              <v:textbox inset="0mm,0mm,0mm,0mm">
                <w:txbxContent>
                  <w:p>
                    <w:pPr>
                      <w:spacing w:before="0" w:line="1280" w:lineRule="exact"/>
                      <w:ind w:left="401" w:right="0" w:firstLine="0"/>
                      <w:jc w:val="left"/>
                      <w:rPr>
                        <w:rFonts w:hint="eastAsia" w:ascii="Microsoft JhengHei" w:eastAsia="Microsoft JhengHei"/>
                        <w:b/>
                        <w:sz w:val="84"/>
                      </w:rPr>
                    </w:pPr>
                    <w:r>
                      <w:rPr>
                        <w:rFonts w:hint="eastAsia" w:ascii="Microsoft JhengHei" w:eastAsia="Microsoft JhengHei"/>
                        <w:b/>
                        <w:color w:val="FF0000"/>
                        <w:sz w:val="84"/>
                      </w:rPr>
                      <w:t>浙江大学研究生院文件</w:t>
                    </w:r>
                  </w:p>
                </w:txbxContent>
              </v:textbox>
            </v:shape>
            <w10:wrap type="none"/>
            <w10:anchorlock/>
          </v:group>
        </w:pict>
      </w:r>
    </w:p>
    <w:p>
      <w:pPr>
        <w:pStyle w:val="3"/>
        <w:ind w:left="0"/>
        <w:rPr>
          <w:rFonts w:ascii="Times New Roman"/>
          <w:sz w:val="20"/>
        </w:rPr>
      </w:pPr>
    </w:p>
    <w:p>
      <w:pPr>
        <w:pStyle w:val="3"/>
        <w:ind w:left="0"/>
        <w:rPr>
          <w:rFonts w:ascii="Times New Roman"/>
          <w:sz w:val="20"/>
        </w:rPr>
      </w:pPr>
    </w:p>
    <w:p>
      <w:pPr>
        <w:pStyle w:val="3"/>
        <w:spacing w:before="4"/>
        <w:ind w:left="0"/>
        <w:rPr>
          <w:rFonts w:ascii="Times New Roman"/>
          <w:sz w:val="17"/>
        </w:rPr>
      </w:pPr>
    </w:p>
    <w:p>
      <w:pPr>
        <w:spacing w:before="0" w:line="484" w:lineRule="exact"/>
        <w:ind w:left="1431" w:right="1433" w:firstLine="0"/>
        <w:jc w:val="center"/>
        <w:rPr>
          <w:rFonts w:hint="eastAsia" w:ascii="Microsoft JhengHei" w:eastAsia="Microsoft JhengHei"/>
          <w:b/>
          <w:sz w:val="28"/>
        </w:rPr>
      </w:pPr>
      <w:r>
        <w:rPr>
          <w:rFonts w:hint="eastAsia" w:ascii="Microsoft JhengHei" w:eastAsia="Microsoft JhengHei"/>
          <w:b/>
          <w:sz w:val="28"/>
        </w:rPr>
        <w:t>浙大研院〔</w:t>
      </w:r>
      <w:r>
        <w:rPr>
          <w:rFonts w:ascii="Calibri" w:eastAsia="Calibri"/>
          <w:b/>
          <w:sz w:val="28"/>
        </w:rPr>
        <w:t>2019</w:t>
      </w:r>
      <w:r>
        <w:rPr>
          <w:rFonts w:hint="eastAsia" w:ascii="Microsoft JhengHei" w:eastAsia="Microsoft JhengHei"/>
          <w:b/>
          <w:sz w:val="28"/>
        </w:rPr>
        <w:t>〕</w:t>
      </w:r>
      <w:r>
        <w:rPr>
          <w:rFonts w:ascii="Calibri" w:eastAsia="Calibri"/>
          <w:b/>
          <w:sz w:val="28"/>
        </w:rPr>
        <w:t xml:space="preserve">24 </w:t>
      </w:r>
      <w:r>
        <w:rPr>
          <w:rFonts w:hint="eastAsia" w:ascii="Microsoft JhengHei" w:eastAsia="Microsoft JhengHei"/>
          <w:b/>
          <w:sz w:val="28"/>
        </w:rPr>
        <w:t>号</w:t>
      </w:r>
    </w:p>
    <w:p>
      <w:pPr>
        <w:pStyle w:val="3"/>
        <w:spacing w:before="11"/>
        <w:ind w:left="0"/>
        <w:rPr>
          <w:rFonts w:ascii="Microsoft JhengHei"/>
          <w:b/>
          <w:sz w:val="20"/>
        </w:rPr>
      </w:pPr>
      <w:r>
        <w:pict>
          <v:line id="_x0000_s1029" o:spid="_x0000_s1029" o:spt="20" style="position:absolute;left:0pt;margin-left:78.9pt;margin-top:22.4pt;height:0pt;width:439.35pt;mso-position-horizontal-relative:page;mso-wrap-distance-bottom:0pt;mso-wrap-distance-top:0pt;z-index:-251656192;mso-width-relative:page;mso-height-relative:page;" stroked="t" coordsize="21600,21600">
            <v:path arrowok="t"/>
            <v:fill focussize="0,0"/>
            <v:stroke weight="3pt" color="#FF0000"/>
            <v:imagedata o:title=""/>
            <o:lock v:ext="edit"/>
            <w10:wrap type="topAndBottom"/>
          </v:line>
        </w:pict>
      </w:r>
    </w:p>
    <w:p>
      <w:pPr>
        <w:pStyle w:val="3"/>
        <w:spacing w:before="15"/>
        <w:ind w:left="0"/>
        <w:rPr>
          <w:rFonts w:ascii="Microsoft JhengHei"/>
          <w:b/>
          <w:sz w:val="42"/>
        </w:rPr>
      </w:pPr>
    </w:p>
    <w:p>
      <w:pPr>
        <w:spacing w:before="0" w:line="172" w:lineRule="auto"/>
        <w:ind w:left="1432" w:right="1433" w:firstLine="0"/>
        <w:jc w:val="center"/>
        <w:rPr>
          <w:rFonts w:hint="eastAsia" w:ascii="Arial Unicode MS" w:eastAsia="Arial Unicode MS"/>
          <w:sz w:val="44"/>
        </w:rPr>
      </w:pPr>
      <w:r>
        <w:rPr>
          <w:rFonts w:hint="eastAsia" w:ascii="Arial Unicode MS" w:eastAsia="Arial Unicode MS"/>
          <w:sz w:val="44"/>
        </w:rPr>
        <w:t>浙江大学专业学位研究生实践环节管理规定（试行）</w:t>
      </w:r>
    </w:p>
    <w:p>
      <w:pPr>
        <w:pStyle w:val="3"/>
        <w:spacing w:before="4"/>
        <w:ind w:left="0"/>
        <w:rPr>
          <w:rFonts w:ascii="Arial Unicode MS"/>
          <w:sz w:val="33"/>
        </w:rPr>
      </w:pPr>
    </w:p>
    <w:p>
      <w:pPr>
        <w:pStyle w:val="3"/>
        <w:spacing w:before="1"/>
        <w:ind w:left="4109"/>
        <w:jc w:val="both"/>
      </w:pPr>
      <w:r>
        <w:t>第一章 总 则</w:t>
      </w:r>
    </w:p>
    <w:p>
      <w:pPr>
        <w:pStyle w:val="3"/>
        <w:spacing w:before="170" w:line="340" w:lineRule="auto"/>
        <w:ind w:right="726" w:firstLine="640"/>
        <w:jc w:val="both"/>
      </w:pPr>
      <w:r>
        <w:t>第一条 为贯彻落实《教育部、人力资源社会保障部关于深入推进专业学位研究生培养模式改革的意见》（教研</w:t>
      </w:r>
    </w:p>
    <w:p>
      <w:pPr>
        <w:pStyle w:val="3"/>
        <w:spacing w:line="340" w:lineRule="auto"/>
        <w:ind w:right="804"/>
        <w:jc w:val="both"/>
      </w:pPr>
      <w:r>
        <w:rPr>
          <w:sz w:val="28"/>
        </w:rPr>
        <w:t>〔</w:t>
      </w:r>
      <w:r>
        <w:t>2013</w:t>
      </w:r>
      <w:r>
        <w:rPr>
          <w:sz w:val="28"/>
        </w:rPr>
        <w:t>〕</w:t>
      </w:r>
      <w:r>
        <w:t>3号）和《教育部关于加强专业学位研究生案例教学和联合培养基地建设的意见》（教研</w:t>
      </w:r>
      <w:r>
        <w:rPr>
          <w:sz w:val="28"/>
        </w:rPr>
        <w:t>〔</w:t>
      </w:r>
      <w:r>
        <w:t>2015</w:t>
      </w:r>
      <w:r>
        <w:rPr>
          <w:sz w:val="28"/>
        </w:rPr>
        <w:t>〕</w:t>
      </w:r>
      <w:r>
        <w:t>1号）文件精神以及全国专业学位研究生教育指导委员会要求，切实提高实践环节的培养质量，规范实践环节的安排、管理和考核，制定本办法。</w:t>
      </w:r>
    </w:p>
    <w:p>
      <w:pPr>
        <w:pStyle w:val="3"/>
        <w:spacing w:line="338" w:lineRule="auto"/>
        <w:ind w:right="573" w:firstLine="640"/>
        <w:jc w:val="both"/>
      </w:pPr>
      <w:r>
        <w:rPr>
          <w:spacing w:val="-10"/>
        </w:rPr>
        <w:t>第二条 本规定适用于全校在读全日制、非全日制</w:t>
      </w:r>
      <w:r>
        <w:t>（</w:t>
      </w:r>
      <w:r>
        <w:rPr>
          <w:spacing w:val="-5"/>
        </w:rPr>
        <w:t>非定</w:t>
      </w:r>
      <w:r>
        <w:t>向和定向）专业学位硕士研究生（以下简称研究生</w:t>
      </w:r>
      <w:r>
        <w:rPr>
          <w:spacing w:val="-160"/>
        </w:rPr>
        <w:t>）</w:t>
      </w:r>
      <w:r>
        <w:t>。</w:t>
      </w:r>
    </w:p>
    <w:p>
      <w:pPr>
        <w:pStyle w:val="3"/>
        <w:ind w:left="3775"/>
        <w:jc w:val="both"/>
      </w:pPr>
      <w:r>
        <w:t>第二章 基本要求</w:t>
      </w:r>
    </w:p>
    <w:p>
      <w:pPr>
        <w:pStyle w:val="3"/>
        <w:spacing w:before="161" w:line="338" w:lineRule="auto"/>
        <w:ind w:right="568" w:firstLine="640"/>
        <w:jc w:val="both"/>
      </w:pPr>
      <w:r>
        <w:t>第三条 专业实践是研究生培养的必修环节，研究生须获得专业实践学分后，方能进入学位论文答辩环节。专业实践一般应与学位论文研究工作相结合。</w:t>
      </w:r>
    </w:p>
    <w:p>
      <w:pPr>
        <w:spacing w:after="0" w:line="338" w:lineRule="auto"/>
        <w:jc w:val="both"/>
        <w:sectPr>
          <w:type w:val="continuous"/>
          <w:pgSz w:w="11910" w:h="16840"/>
          <w:pgMar w:top="1580" w:right="1220" w:bottom="280" w:left="1220" w:header="720" w:footer="720" w:gutter="0"/>
        </w:sectPr>
      </w:pPr>
    </w:p>
    <w:p>
      <w:pPr>
        <w:pStyle w:val="3"/>
        <w:spacing w:before="25" w:line="340" w:lineRule="auto"/>
        <w:ind w:right="576" w:firstLine="640"/>
        <w:rPr>
          <w:highlight w:val="none"/>
        </w:rPr>
      </w:pPr>
      <w:r>
        <w:rPr>
          <w:spacing w:val="-13"/>
        </w:rPr>
        <w:t>第四条 各学院</w:t>
      </w:r>
      <w:r>
        <w:t>（系</w:t>
      </w:r>
      <w:r>
        <w:rPr>
          <w:spacing w:val="-87"/>
        </w:rPr>
        <w:t>）</w:t>
      </w:r>
      <w:r>
        <w:rPr>
          <w:spacing w:val="-1"/>
        </w:rPr>
        <w:t>根据有关专业学位教育指导委员会</w:t>
      </w:r>
      <w:r>
        <w:t>的要求设</w:t>
      </w:r>
      <w:r>
        <w:rPr>
          <w:highlight w:val="none"/>
        </w:rPr>
        <w:t>置相应学分。</w:t>
      </w:r>
    </w:p>
    <w:p>
      <w:pPr>
        <w:pStyle w:val="3"/>
        <w:spacing w:line="340" w:lineRule="auto"/>
        <w:ind w:right="726" w:firstLine="640"/>
        <w:rPr>
          <w:highlight w:val="none"/>
        </w:rPr>
      </w:pPr>
      <w:r>
        <w:rPr>
          <w:spacing w:val="-2"/>
          <w:highlight w:val="none"/>
        </w:rPr>
        <w:t>第五条 专业实践具体时间要求参照国家相应专业学位</w:t>
      </w:r>
      <w:r>
        <w:rPr>
          <w:highlight w:val="none"/>
        </w:rPr>
        <w:t>教指委指导性培养方案的有关规定执行。</w:t>
      </w:r>
    </w:p>
    <w:p>
      <w:pPr>
        <w:pStyle w:val="3"/>
        <w:spacing w:line="338" w:lineRule="auto"/>
        <w:ind w:right="885" w:firstLine="640"/>
      </w:pPr>
      <w:r>
        <w:rPr>
          <w:spacing w:val="-1"/>
          <w:highlight w:val="none"/>
        </w:rPr>
        <w:t>第六条 专业实践按照“集中实践与分段实践”相结合、“校内实践与校外实践”相结合（</w:t>
      </w:r>
      <w:r>
        <w:rPr>
          <w:spacing w:val="-3"/>
          <w:highlight w:val="none"/>
        </w:rPr>
        <w:t>其中校外实践时间</w:t>
      </w:r>
      <w:r>
        <w:rPr>
          <w:highlight w:val="none"/>
        </w:rPr>
        <w:t>至少为相应教指委要求时间的一半）</w:t>
      </w:r>
      <w:r>
        <w:rPr>
          <w:spacing w:val="-2"/>
          <w:highlight w:val="none"/>
        </w:rPr>
        <w:t>、“专业实践与学位</w:t>
      </w:r>
      <w:r>
        <w:rPr>
          <w:spacing w:val="-1"/>
          <w:highlight w:val="none"/>
        </w:rPr>
        <w:t>论文工作”相结合的方式开展。专业实践一般依托实践基地和合作单位提供的研究项目或实践岗位进行，非全</w:t>
      </w:r>
      <w:r>
        <w:rPr>
          <w:spacing w:val="-1"/>
        </w:rPr>
        <w:t>日制</w:t>
      </w:r>
      <w:r>
        <w:t>定向研究生可依托原工作单位进行实践。</w:t>
      </w:r>
    </w:p>
    <w:p>
      <w:pPr>
        <w:pStyle w:val="3"/>
        <w:spacing w:before="4"/>
        <w:ind w:left="3854"/>
      </w:pPr>
      <w:r>
        <w:t>第三章 组织保障</w:t>
      </w:r>
    </w:p>
    <w:p>
      <w:pPr>
        <w:pStyle w:val="3"/>
        <w:spacing w:before="168" w:line="340" w:lineRule="auto"/>
        <w:ind w:right="885" w:firstLine="640"/>
      </w:pPr>
      <w:r>
        <w:rPr>
          <w:spacing w:val="-1"/>
        </w:rPr>
        <w:t>第七条 研究生的实践环节由各学院</w:t>
      </w:r>
      <w:r>
        <w:t xml:space="preserve">（系）落实和实施，学院（系）须成立专业学位研究生专业实践工作小 </w:t>
      </w:r>
      <w:r>
        <w:rPr>
          <w:spacing w:val="-1"/>
        </w:rPr>
        <w:t>组，分管副院长、副书记共同担任组长，全面指导开展专</w:t>
      </w:r>
    </w:p>
    <w:p>
      <w:pPr>
        <w:pStyle w:val="3"/>
        <w:spacing w:line="340" w:lineRule="auto"/>
        <w:ind w:right="724"/>
      </w:pPr>
      <w:r>
        <w:rPr>
          <w:w w:val="99"/>
        </w:rPr>
        <w:t>业实践各项工作</w:t>
      </w:r>
      <w:r>
        <w:rPr>
          <w:spacing w:val="2"/>
          <w:w w:val="99"/>
        </w:rPr>
        <w:t>（</w:t>
      </w:r>
      <w:r>
        <w:rPr>
          <w:w w:val="99"/>
        </w:rPr>
        <w:t>含党建与思政工作</w:t>
      </w:r>
      <w:r>
        <w:rPr>
          <w:spacing w:val="-158"/>
          <w:w w:val="99"/>
        </w:rPr>
        <w:t>）</w:t>
      </w:r>
      <w:r>
        <w:rPr>
          <w:spacing w:val="-2"/>
          <w:w w:val="99"/>
        </w:rPr>
        <w:t>，指定专人负责具体</w:t>
      </w:r>
      <w:r>
        <w:t>管理工作。</w:t>
      </w:r>
    </w:p>
    <w:p>
      <w:pPr>
        <w:pStyle w:val="3"/>
        <w:spacing w:line="338" w:lineRule="auto"/>
        <w:ind w:right="883" w:firstLine="640"/>
        <w:jc w:val="both"/>
      </w:pPr>
      <w:r>
        <w:t>第八条 各学院（系）应结合所属专业学位类别/领域特点，制订本学院（系）专业实践管理办法，对专业实践项目、内容、组织、管理和考核等问题作出规定。加强专业实践的安全管理工作，明确职责分工，落实责任主体， 保障研究生在专业实践过程中的人身安全与健康。</w:t>
      </w:r>
    </w:p>
    <w:p>
      <w:pPr>
        <w:pStyle w:val="3"/>
        <w:spacing w:before="1" w:line="338" w:lineRule="auto"/>
        <w:ind w:right="724" w:firstLine="640"/>
      </w:pPr>
      <w:r>
        <w:t>第九条 各学院(系)要加强研究生专业实践期间的党建与思政教育工作。在同一基地（单位）或相近区域进行专业实践的研究生如达到一定的规模，要因地制宜建立临时</w:t>
      </w:r>
    </w:p>
    <w:p>
      <w:pPr>
        <w:spacing w:after="0" w:line="338" w:lineRule="auto"/>
        <w:sectPr>
          <w:pgSz w:w="11910" w:h="16840"/>
          <w:pgMar w:top="1540" w:right="1220" w:bottom="280" w:left="1220" w:header="720" w:footer="720" w:gutter="0"/>
        </w:sectPr>
      </w:pPr>
    </w:p>
    <w:p>
      <w:pPr>
        <w:pStyle w:val="3"/>
        <w:spacing w:before="25"/>
      </w:pPr>
      <w:r>
        <w:t>党团班组织，常态化开展相关教育和活动。</w:t>
      </w:r>
    </w:p>
    <w:p>
      <w:pPr>
        <w:pStyle w:val="3"/>
        <w:spacing w:before="171" w:line="338" w:lineRule="auto"/>
        <w:ind w:right="576" w:firstLine="640"/>
        <w:jc w:val="both"/>
      </w:pPr>
      <w:r>
        <w:rPr>
          <w:w w:val="99"/>
        </w:rPr>
        <w:t>第十条</w:t>
      </w:r>
      <w:r>
        <w:t xml:space="preserve"> </w:t>
      </w:r>
      <w:r>
        <w:rPr>
          <w:spacing w:val="-12"/>
          <w:w w:val="99"/>
        </w:rPr>
        <w:t>实行校内导师与校外导师“双导师制”，校内导</w:t>
      </w:r>
      <w:r>
        <w:rPr>
          <w:spacing w:val="-2"/>
        </w:rPr>
        <w:t>师与校外导师共同制定个性化的专业实践计划。校内导师要</w:t>
      </w:r>
      <w:r>
        <w:rPr>
          <w:spacing w:val="-4"/>
        </w:rPr>
        <w:t>关注研究生专业实践期间工作、生活、思想、心理等方面动</w:t>
      </w:r>
      <w:r>
        <w:rPr>
          <w:spacing w:val="-5"/>
        </w:rPr>
        <w:t>态，关心支持研究生顺利完成实践环节。校外导师一般来自</w:t>
      </w:r>
      <w:r>
        <w:rPr>
          <w:spacing w:val="-2"/>
        </w:rPr>
        <w:t>实践基地或合作单位，负责属地教育管理工作，指导研究生开展专业实践活动。</w:t>
      </w:r>
    </w:p>
    <w:p>
      <w:pPr>
        <w:pStyle w:val="3"/>
        <w:spacing w:before="12"/>
        <w:ind w:left="3775"/>
      </w:pPr>
      <w:r>
        <w:t>第四章 考核管理</w:t>
      </w:r>
    </w:p>
    <w:p>
      <w:pPr>
        <w:pStyle w:val="3"/>
        <w:spacing w:before="168" w:line="338" w:lineRule="auto"/>
        <w:ind w:right="722" w:firstLine="640"/>
      </w:pPr>
      <w:r>
        <w:t>第十一条 研究生在专业实践期间应严格遵守学校、实践基地、合作单位的规章制度，服从导师组安排。做好专业实践有关工作笔记，定期向导师组汇报工作进展和思想情况等。</w:t>
      </w:r>
    </w:p>
    <w:p>
      <w:pPr>
        <w:pStyle w:val="3"/>
        <w:spacing w:before="9"/>
        <w:ind w:left="1221"/>
      </w:pPr>
      <w:r>
        <w:t>第十二条 考核流程如下：</w:t>
      </w:r>
    </w:p>
    <w:p>
      <w:pPr>
        <w:pStyle w:val="3"/>
        <w:spacing w:before="171" w:line="338" w:lineRule="auto"/>
        <w:ind w:right="883" w:firstLine="640"/>
      </w:pPr>
      <w:r>
        <w:t>（一）</w:t>
      </w:r>
      <w:r>
        <w:rPr>
          <w:spacing w:val="-6"/>
        </w:rPr>
        <w:t xml:space="preserve">研究生在专业实践活动结束后 </w:t>
      </w:r>
      <w:r>
        <w:t>3</w:t>
      </w:r>
      <w:r>
        <w:rPr>
          <w:spacing w:val="-15"/>
        </w:rPr>
        <w:t xml:space="preserve"> 周内登录研究</w:t>
      </w:r>
      <w:r>
        <w:rPr>
          <w:w w:val="99"/>
        </w:rPr>
        <w:t>生教育管理信息系统（</w:t>
      </w:r>
      <w:r>
        <w:rPr>
          <w:spacing w:val="-1"/>
          <w:w w:val="99"/>
        </w:rPr>
        <w:t>过程管理-专业实践</w:t>
      </w:r>
      <w:r>
        <w:rPr>
          <w:spacing w:val="-161"/>
          <w:w w:val="99"/>
        </w:rPr>
        <w:t>）</w:t>
      </w:r>
      <w:r>
        <w:rPr>
          <w:w w:val="99"/>
        </w:rPr>
        <w:t>，网上填写</w:t>
      </w:r>
    </w:p>
    <w:p>
      <w:pPr>
        <w:pStyle w:val="3"/>
        <w:spacing w:before="3" w:line="340" w:lineRule="auto"/>
        <w:ind w:right="725"/>
      </w:pPr>
      <w:r>
        <w:rPr>
          <w:spacing w:val="-11"/>
        </w:rPr>
        <w:t>《浙江大学研究生专业实践考核表》，并上传《浙江大学研</w:t>
      </w:r>
      <w:r>
        <w:rPr>
          <w:spacing w:val="-18"/>
        </w:rPr>
        <w:t>究生专业实践报告》</w:t>
      </w:r>
      <w:r>
        <w:t>（见附件</w:t>
      </w:r>
      <w:r>
        <w:rPr>
          <w:spacing w:val="-160"/>
        </w:rPr>
        <w:t>）</w:t>
      </w:r>
      <w:r>
        <w:t>。</w:t>
      </w:r>
    </w:p>
    <w:p>
      <w:pPr>
        <w:pStyle w:val="3"/>
        <w:spacing w:line="340" w:lineRule="auto"/>
        <w:ind w:right="726" w:firstLine="640"/>
      </w:pPr>
      <w:r>
        <w:t>（二）指导教师（组）审核研究生《浙江大学研究生</w:t>
      </w:r>
      <w:r>
        <w:rPr>
          <w:spacing w:val="-14"/>
        </w:rPr>
        <w:t>专业实践报告》，并在《浙江大学研究生专业实践考核表》</w:t>
      </w:r>
      <w:r>
        <w:t>上填写意见。</w:t>
      </w:r>
    </w:p>
    <w:p>
      <w:pPr>
        <w:pStyle w:val="3"/>
        <w:spacing w:line="340" w:lineRule="auto"/>
        <w:ind w:right="883" w:firstLine="640"/>
        <w:jc w:val="both"/>
        <w:rPr>
          <w:highlight w:val="none"/>
        </w:rPr>
      </w:pPr>
      <w:r>
        <w:t>（三）学院（系）成立研究生实践环节考核小组，一般应采取集中答</w:t>
      </w:r>
      <w:r>
        <w:rPr>
          <w:highlight w:val="none"/>
        </w:rPr>
        <w:t>辩等形式，对研究生实践活动作出综合评价，并录入系统。考核等级分为“优秀”、“合格”和</w:t>
      </w:r>
    </w:p>
    <w:p>
      <w:pPr>
        <w:spacing w:after="0" w:line="340" w:lineRule="auto"/>
        <w:jc w:val="both"/>
        <w:rPr>
          <w:highlight w:val="none"/>
        </w:rPr>
        <w:sectPr>
          <w:pgSz w:w="11910" w:h="16840"/>
          <w:pgMar w:top="1540" w:right="1220" w:bottom="280" w:left="1220" w:header="720" w:footer="720" w:gutter="0"/>
        </w:sectPr>
      </w:pPr>
    </w:p>
    <w:p>
      <w:pPr>
        <w:pStyle w:val="3"/>
        <w:spacing w:before="25" w:line="340" w:lineRule="auto"/>
        <w:ind w:right="867"/>
        <w:rPr>
          <w:highlight w:val="none"/>
        </w:rPr>
      </w:pPr>
      <w:r>
        <w:rPr>
          <w:highlight w:val="none"/>
        </w:rPr>
        <w:t>“不合格”，优秀率不超过 20%。“合格”及以上等级为“考核通过”。</w:t>
      </w:r>
    </w:p>
    <w:p>
      <w:pPr>
        <w:pStyle w:val="3"/>
        <w:spacing w:line="338" w:lineRule="auto"/>
        <w:ind w:right="884" w:firstLine="640"/>
        <w:rPr>
          <w:highlight w:val="none"/>
        </w:rPr>
      </w:pPr>
      <w:r>
        <w:rPr>
          <w:highlight w:val="none"/>
        </w:rPr>
        <w:t>（四）</w:t>
      </w:r>
      <w:r>
        <w:rPr>
          <w:spacing w:val="-1"/>
          <w:highlight w:val="none"/>
        </w:rPr>
        <w:t>考核完成后，学生打印《浙江大学研究生专业</w:t>
      </w:r>
      <w:r>
        <w:rPr>
          <w:highlight w:val="none"/>
        </w:rPr>
        <w:t>实践考核表》、《浙江大学研究生专业实践报告》纸质 版，校内外导师签字后交学院（系）</w:t>
      </w:r>
      <w:r>
        <w:rPr>
          <w:spacing w:val="-2"/>
          <w:highlight w:val="none"/>
        </w:rPr>
        <w:t>研究生科签署意见、</w:t>
      </w:r>
      <w:r>
        <w:rPr>
          <w:highlight w:val="none"/>
        </w:rPr>
        <w:t>盖章留存。</w:t>
      </w:r>
    </w:p>
    <w:p>
      <w:pPr>
        <w:pStyle w:val="3"/>
        <w:spacing w:before="4" w:line="340" w:lineRule="auto"/>
        <w:ind w:right="724" w:firstLine="640"/>
        <w:rPr>
          <w:highlight w:val="none"/>
        </w:rPr>
      </w:pPr>
      <w:r>
        <w:rPr>
          <w:highlight w:val="none"/>
        </w:rPr>
        <w:t>第十三条 研究生在专业实践期间有以下情形之一的， 考核等级为“不合格”：</w:t>
      </w:r>
    </w:p>
    <w:p>
      <w:pPr>
        <w:pStyle w:val="3"/>
        <w:spacing w:line="405" w:lineRule="exact"/>
        <w:ind w:left="1221"/>
        <w:rPr>
          <w:highlight w:val="none"/>
        </w:rPr>
      </w:pPr>
      <w:r>
        <w:rPr>
          <w:highlight w:val="none"/>
        </w:rPr>
        <w:t>（一）违反科研诚信和学术道德；</w:t>
      </w:r>
    </w:p>
    <w:p>
      <w:pPr>
        <w:pStyle w:val="3"/>
        <w:spacing w:before="170"/>
        <w:ind w:left="1221"/>
        <w:rPr>
          <w:highlight w:val="none"/>
        </w:rPr>
      </w:pPr>
      <w:r>
        <w:rPr>
          <w:highlight w:val="none"/>
        </w:rPr>
        <w:t>（二）专业实践不认真，未完成专业实践活动；</w:t>
      </w:r>
    </w:p>
    <w:p>
      <w:pPr>
        <w:pStyle w:val="3"/>
        <w:spacing w:before="171" w:line="338" w:lineRule="auto"/>
        <w:ind w:right="884" w:firstLine="640"/>
        <w:rPr>
          <w:highlight w:val="none"/>
        </w:rPr>
      </w:pPr>
      <w:r>
        <w:rPr>
          <w:highlight w:val="none"/>
        </w:rPr>
        <w:t>（三）违反学校、实践基地或其他实践单位的有关规章制度，造成严重不良后果；</w:t>
      </w:r>
    </w:p>
    <w:p>
      <w:pPr>
        <w:pStyle w:val="3"/>
        <w:spacing w:before="4"/>
        <w:ind w:left="1221"/>
        <w:rPr>
          <w:highlight w:val="none"/>
        </w:rPr>
      </w:pPr>
      <w:r>
        <w:rPr>
          <w:highlight w:val="none"/>
        </w:rPr>
        <w:t>（四）其他违法违纪行为等。</w:t>
      </w:r>
    </w:p>
    <w:p>
      <w:pPr>
        <w:pStyle w:val="3"/>
        <w:spacing w:before="170" w:line="338" w:lineRule="auto"/>
        <w:ind w:right="722" w:firstLine="640"/>
        <w:rPr>
          <w:highlight w:val="none"/>
        </w:rPr>
      </w:pPr>
      <w:r>
        <w:rPr>
          <w:highlight w:val="none"/>
        </w:rPr>
        <w:t xml:space="preserve">第十四条 </w:t>
      </w:r>
      <w:r>
        <w:rPr>
          <w:highlight w:val="none"/>
        </w:rPr>
        <w:t>研究生院每年度组织开展研究生优秀实践成果奖评选活动，对入选的研究生优秀实践成果按等级予以奖励。</w:t>
      </w:r>
    </w:p>
    <w:p>
      <w:pPr>
        <w:pStyle w:val="3"/>
        <w:tabs>
          <w:tab w:val="left" w:pos="5376"/>
        </w:tabs>
        <w:spacing w:before="6"/>
        <w:ind w:left="4094"/>
        <w:rPr>
          <w:highlight w:val="none"/>
        </w:rPr>
      </w:pPr>
      <w:r>
        <w:rPr>
          <w:highlight w:val="none"/>
        </w:rPr>
        <w:t>第五章</w:t>
      </w:r>
      <w:r>
        <w:rPr>
          <w:highlight w:val="none"/>
        </w:rPr>
        <w:tab/>
      </w:r>
      <w:r>
        <w:rPr>
          <w:highlight w:val="none"/>
        </w:rPr>
        <w:t>附则</w:t>
      </w:r>
    </w:p>
    <w:p>
      <w:pPr>
        <w:pStyle w:val="3"/>
        <w:spacing w:before="169"/>
        <w:ind w:left="1221"/>
        <w:rPr>
          <w:highlight w:val="none"/>
        </w:rPr>
      </w:pPr>
      <w:r>
        <w:rPr>
          <w:highlight w:val="none"/>
        </w:rPr>
        <w:t>第十五条 本规定自 2018 级秋季入学的研究生开始执行。</w:t>
      </w:r>
    </w:p>
    <w:p>
      <w:pPr>
        <w:pStyle w:val="3"/>
        <w:spacing w:before="170"/>
        <w:ind w:left="1221"/>
      </w:pPr>
      <w:r>
        <w:pict>
          <v:group id="_x0000_s1030" o:spid="_x0000_s1030" o:spt="203" style="position:absolute;left:0pt;margin-left:354.05pt;margin-top:21.75pt;height:120pt;width:135.35pt;mso-position-horizontal-relative:page;z-index:-251806720;mso-width-relative:page;mso-height-relative:page;" coordorigin="7081,436" coordsize="2707,2400">
            <o:lock v:ext="edit"/>
            <v:shape id="_x0000_s1031" o:spid="_x0000_s1031" o:spt="75" type="#_x0000_t75" style="position:absolute;left:7245;top:435;height:2400;width:2400;" filled="f" stroked="f" coordsize="21600,21600">
              <v:path/>
              <v:fill on="f" focussize="0,0"/>
              <v:stroke on="f"/>
              <v:imagedata r:id="rId5" o:title=""/>
              <o:lock v:ext="edit" aspectratio="t"/>
            </v:shape>
            <v:shape id="_x0000_s1032" o:spid="_x0000_s1032" o:spt="202" type="#_x0000_t202" style="position:absolute;left:7081;top:435;height:2400;width:2707;" filled="f" stroked="f" coordsize="21600,21600">
              <v:path/>
              <v:fill on="f" focussize="0,0"/>
              <v:stroke on="f" joinstyle="miter"/>
              <v:imagedata o:title=""/>
              <o:lock v:ext="edit"/>
              <v:textbox inset="0mm,0mm,0mm,0mm">
                <w:txbxContent>
                  <w:p>
                    <w:pPr>
                      <w:spacing w:before="0" w:line="240" w:lineRule="auto"/>
                      <w:rPr>
                        <w:sz w:val="32"/>
                      </w:rPr>
                    </w:pPr>
                  </w:p>
                  <w:p>
                    <w:pPr>
                      <w:spacing w:before="1" w:line="240" w:lineRule="auto"/>
                      <w:rPr>
                        <w:sz w:val="39"/>
                      </w:rPr>
                    </w:pPr>
                  </w:p>
                  <w:p>
                    <w:pPr>
                      <w:spacing w:before="0" w:line="350" w:lineRule="auto"/>
                      <w:ind w:left="0" w:right="0" w:firstLine="148"/>
                      <w:jc w:val="left"/>
                      <w:rPr>
                        <w:sz w:val="32"/>
                      </w:rPr>
                    </w:pPr>
                    <w:r>
                      <w:rPr>
                        <w:spacing w:val="-3"/>
                        <w:sz w:val="32"/>
                      </w:rPr>
                      <w:t>浙江大学研究生院</w:t>
                    </w:r>
                    <w:r>
                      <w:rPr>
                        <w:sz w:val="32"/>
                      </w:rPr>
                      <w:t>2019</w:t>
                    </w:r>
                    <w:r>
                      <w:rPr>
                        <w:spacing w:val="-54"/>
                        <w:sz w:val="32"/>
                      </w:rPr>
                      <w:t xml:space="preserve"> 年 </w:t>
                    </w:r>
                    <w:r>
                      <w:rPr>
                        <w:sz w:val="32"/>
                      </w:rPr>
                      <w:t>7</w:t>
                    </w:r>
                    <w:r>
                      <w:rPr>
                        <w:spacing w:val="-54"/>
                        <w:sz w:val="32"/>
                      </w:rPr>
                      <w:t xml:space="preserve"> 月 </w:t>
                    </w:r>
                    <w:r>
                      <w:rPr>
                        <w:sz w:val="32"/>
                      </w:rPr>
                      <w:t>10</w:t>
                    </w:r>
                    <w:r>
                      <w:rPr>
                        <w:spacing w:val="-41"/>
                        <w:sz w:val="32"/>
                      </w:rPr>
                      <w:t xml:space="preserve"> 日</w:t>
                    </w:r>
                  </w:p>
                </w:txbxContent>
              </v:textbox>
            </v:shape>
          </v:group>
        </w:pict>
      </w:r>
      <w:r>
        <w:t>第十六条 本规定由研究生院负责解释。</w:t>
      </w:r>
    </w:p>
    <w:p>
      <w:pPr>
        <w:spacing w:after="0"/>
        <w:sectPr>
          <w:pgSz w:w="11910" w:h="16840"/>
          <w:pgMar w:top="1540" w:right="1220" w:bottom="280" w:left="1220" w:header="720" w:footer="720" w:gutter="0"/>
        </w:sectPr>
      </w:pPr>
    </w:p>
    <w:p>
      <w:pPr>
        <w:tabs>
          <w:tab w:val="left" w:pos="5981"/>
        </w:tabs>
        <w:spacing w:before="119"/>
        <w:ind w:left="1180" w:right="0" w:firstLine="0"/>
        <w:jc w:val="left"/>
        <w:rPr>
          <w:sz w:val="30"/>
        </w:rPr>
      </w:pPr>
      <w:r>
        <w:pict>
          <v:line id="_x0000_s1033" o:spid="_x0000_s1033" o:spt="20" style="position:absolute;left:0pt;margin-left:94.55pt;margin-top:0.25pt;height:0pt;width:446.2pt;mso-position-horizontal-relative:page;z-index:251665408;mso-width-relative:page;mso-height-relative:page;" stroked="t" coordsize="21600,21600">
            <v:path arrowok="t"/>
            <v:fill focussize="0,0"/>
            <v:stroke weight="0.72pt" color="#000000"/>
            <v:imagedata o:title=""/>
            <o:lock v:ext="edit"/>
          </v:line>
        </w:pict>
      </w:r>
      <w:r>
        <w:pict>
          <v:line id="_x0000_s1034" o:spid="_x0000_s1034" o:spt="20" style="position:absolute;left:0pt;margin-left:94.55pt;margin-top:31.7pt;height:0pt;width:446.2pt;mso-position-horizontal-relative:page;z-index:251666432;mso-width-relative:page;mso-height-relative:page;" stroked="t" coordsize="21600,21600">
            <v:path arrowok="t"/>
            <v:fill focussize="0,0"/>
            <v:stroke weight="0.72pt" color="#000000"/>
            <v:imagedata o:title=""/>
            <o:lock v:ext="edit"/>
          </v:line>
        </w:pict>
      </w:r>
      <w:r>
        <w:rPr>
          <w:sz w:val="30"/>
        </w:rPr>
        <w:t>浙江大学研究生院办公室</w:t>
      </w:r>
      <w:r>
        <w:rPr>
          <w:sz w:val="30"/>
        </w:rPr>
        <w:tab/>
      </w:r>
      <w:r>
        <w:rPr>
          <w:rFonts w:ascii="Calibri" w:eastAsia="Calibri"/>
          <w:sz w:val="30"/>
        </w:rPr>
        <w:t>2019</w:t>
      </w:r>
      <w:r>
        <w:rPr>
          <w:rFonts w:ascii="Calibri" w:eastAsia="Calibri"/>
          <w:spacing w:val="-2"/>
          <w:sz w:val="30"/>
        </w:rPr>
        <w:t xml:space="preserve"> </w:t>
      </w:r>
      <w:r>
        <w:rPr>
          <w:sz w:val="30"/>
        </w:rPr>
        <w:t>年</w:t>
      </w:r>
      <w:r>
        <w:rPr>
          <w:spacing w:val="-81"/>
          <w:sz w:val="30"/>
        </w:rPr>
        <w:t xml:space="preserve"> </w:t>
      </w:r>
      <w:r>
        <w:rPr>
          <w:rFonts w:ascii="Calibri" w:eastAsia="Calibri"/>
          <w:sz w:val="30"/>
        </w:rPr>
        <w:t>7</w:t>
      </w:r>
      <w:r>
        <w:rPr>
          <w:rFonts w:ascii="Calibri" w:eastAsia="Calibri"/>
          <w:spacing w:val="-2"/>
          <w:sz w:val="30"/>
        </w:rPr>
        <w:t xml:space="preserve"> </w:t>
      </w:r>
      <w:r>
        <w:rPr>
          <w:sz w:val="30"/>
        </w:rPr>
        <w:t>月</w:t>
      </w:r>
      <w:r>
        <w:rPr>
          <w:spacing w:val="-80"/>
          <w:sz w:val="30"/>
        </w:rPr>
        <w:t xml:space="preserve"> </w:t>
      </w:r>
      <w:r>
        <w:rPr>
          <w:rFonts w:ascii="Calibri" w:eastAsia="Calibri"/>
          <w:sz w:val="30"/>
        </w:rPr>
        <w:t>10</w:t>
      </w:r>
      <w:r>
        <w:rPr>
          <w:rFonts w:ascii="Calibri" w:eastAsia="Calibri"/>
          <w:spacing w:val="-2"/>
          <w:sz w:val="30"/>
        </w:rPr>
        <w:t xml:space="preserve"> </w:t>
      </w:r>
      <w:r>
        <w:rPr>
          <w:sz w:val="30"/>
        </w:rPr>
        <w:t>日印发</w:t>
      </w:r>
    </w:p>
    <w:p>
      <w:pPr>
        <w:pStyle w:val="3"/>
        <w:spacing w:before="282"/>
        <w:ind w:left="1221"/>
      </w:pPr>
      <w:r>
        <w:rPr>
          <w:w w:val="99"/>
        </w:rPr>
        <w:t xml:space="preserve"> </w:t>
      </w:r>
      <w:r>
        <w:rPr>
          <w:spacing w:val="-1"/>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p>
    <w:p>
      <w:pPr>
        <w:pStyle w:val="3"/>
        <w:spacing w:before="190"/>
      </w:pPr>
      <w:r>
        <w:rPr>
          <w:w w:val="99"/>
        </w:rPr>
        <w:t xml:space="preserve"> </w:t>
      </w:r>
      <w:r>
        <w:rPr>
          <w:spacing w:val="-1"/>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p>
    <w:p>
      <w:pPr>
        <w:pStyle w:val="3"/>
        <w:spacing w:before="190"/>
      </w:pPr>
      <w:r>
        <w:t>附件：</w:t>
      </w:r>
    </w:p>
    <w:p>
      <w:pPr>
        <w:pStyle w:val="3"/>
        <w:ind w:left="0"/>
        <w:rPr>
          <w:sz w:val="20"/>
        </w:rPr>
      </w:pPr>
    </w:p>
    <w:p>
      <w:pPr>
        <w:pStyle w:val="3"/>
        <w:ind w:left="0"/>
        <w:rPr>
          <w:sz w:val="20"/>
        </w:rPr>
      </w:pPr>
    </w:p>
    <w:p>
      <w:pPr>
        <w:pStyle w:val="3"/>
        <w:spacing w:before="2"/>
        <w:ind w:left="0"/>
        <w:rPr>
          <w:sz w:val="18"/>
        </w:rPr>
      </w:pPr>
      <w:r>
        <w:drawing>
          <wp:anchor distT="0" distB="0" distL="0" distR="0" simplePos="0" relativeHeight="1024" behindDoc="0" locked="0" layoutInCell="1" allowOverlap="1">
            <wp:simplePos x="0" y="0"/>
            <wp:positionH relativeFrom="page">
              <wp:posOffset>2077085</wp:posOffset>
            </wp:positionH>
            <wp:positionV relativeFrom="paragraph">
              <wp:posOffset>172720</wp:posOffset>
            </wp:positionV>
            <wp:extent cx="3505835" cy="62865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6" cstate="print"/>
                    <a:stretch>
                      <a:fillRect/>
                    </a:stretch>
                  </pic:blipFill>
                  <pic:spPr>
                    <a:xfrm>
                      <a:off x="0" y="0"/>
                      <a:ext cx="3505854" cy="628935"/>
                    </a:xfrm>
                    <a:prstGeom prst="rect">
                      <a:avLst/>
                    </a:prstGeom>
                  </pic:spPr>
                </pic:pic>
              </a:graphicData>
            </a:graphic>
          </wp:anchor>
        </w:drawing>
      </w:r>
    </w:p>
    <w:p>
      <w:pPr>
        <w:pStyle w:val="3"/>
        <w:spacing w:before="9"/>
        <w:ind w:left="0"/>
        <w:rPr>
          <w:sz w:val="38"/>
        </w:rPr>
      </w:pPr>
    </w:p>
    <w:p>
      <w:pPr>
        <w:spacing w:before="1"/>
        <w:ind w:left="1430" w:right="1433" w:firstLine="0"/>
        <w:jc w:val="center"/>
        <w:rPr>
          <w:rFonts w:hint="eastAsia" w:ascii="Microsoft JhengHei" w:eastAsia="Microsoft JhengHei"/>
          <w:b/>
          <w:sz w:val="52"/>
        </w:rPr>
      </w:pPr>
      <w:r>
        <w:rPr>
          <w:rFonts w:hint="eastAsia" w:ascii="Microsoft JhengHei" w:eastAsia="Microsoft JhengHei"/>
          <w:b/>
          <w:sz w:val="52"/>
        </w:rPr>
        <w:t>研究生专业实践报告</w:t>
      </w:r>
    </w:p>
    <w:p>
      <w:pPr>
        <w:pStyle w:val="3"/>
        <w:spacing w:before="3"/>
        <w:ind w:left="0"/>
        <w:rPr>
          <w:rFonts w:ascii="Microsoft JhengHei"/>
          <w:b/>
          <w:sz w:val="13"/>
        </w:rPr>
      </w:pPr>
      <w:r>
        <w:drawing>
          <wp:anchor distT="0" distB="0" distL="0" distR="0" simplePos="0" relativeHeight="1024" behindDoc="0" locked="0" layoutInCell="1" allowOverlap="1">
            <wp:simplePos x="0" y="0"/>
            <wp:positionH relativeFrom="page">
              <wp:posOffset>3166745</wp:posOffset>
            </wp:positionH>
            <wp:positionV relativeFrom="paragraph">
              <wp:posOffset>178435</wp:posOffset>
            </wp:positionV>
            <wp:extent cx="1074420" cy="1078865"/>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7" cstate="print"/>
                    <a:stretch>
                      <a:fillRect/>
                    </a:stretch>
                  </pic:blipFill>
                  <pic:spPr>
                    <a:xfrm>
                      <a:off x="0" y="0"/>
                      <a:ext cx="1074344" cy="1078896"/>
                    </a:xfrm>
                    <a:prstGeom prst="rect">
                      <a:avLst/>
                    </a:prstGeom>
                  </pic:spPr>
                </pic:pic>
              </a:graphicData>
            </a:graphic>
          </wp:anchor>
        </w:drawing>
      </w:r>
    </w:p>
    <w:p>
      <w:pPr>
        <w:pStyle w:val="3"/>
        <w:spacing w:before="10"/>
        <w:ind w:left="0"/>
        <w:rPr>
          <w:rFonts w:ascii="Microsoft JhengHei"/>
          <w:b/>
          <w:sz w:val="57"/>
        </w:rPr>
      </w:pPr>
    </w:p>
    <w:p>
      <w:pPr>
        <w:pStyle w:val="2"/>
        <w:tabs>
          <w:tab w:val="left" w:pos="7768"/>
        </w:tabs>
        <w:spacing w:line="240" w:lineRule="auto"/>
        <w:rPr>
          <w:rFonts w:ascii="Times New Roman" w:eastAsia="Times New Roman"/>
        </w:rPr>
      </w:pPr>
      <w:r>
        <w:t>学号与姓</w:t>
      </w:r>
      <w:r>
        <w:rPr>
          <w:spacing w:val="75"/>
        </w:rPr>
        <w:t>名</w:t>
      </w:r>
      <w:r>
        <w:rPr>
          <w:rFonts w:ascii="Times New Roman" w:eastAsia="Times New Roman"/>
          <w:u w:val="single"/>
        </w:rPr>
        <w:t xml:space="preserve"> </w:t>
      </w:r>
      <w:r>
        <w:rPr>
          <w:rFonts w:ascii="Times New Roman" w:eastAsia="Times New Roman"/>
          <w:u w:val="single"/>
        </w:rPr>
        <w:tab/>
      </w:r>
      <w:bookmarkStart w:id="0" w:name="_GoBack"/>
      <w:bookmarkEnd w:id="0"/>
    </w:p>
    <w:p>
      <w:pPr>
        <w:pStyle w:val="3"/>
        <w:spacing w:before="2"/>
        <w:ind w:left="0"/>
        <w:rPr>
          <w:rFonts w:ascii="Times New Roman"/>
          <w:b/>
          <w:sz w:val="18"/>
        </w:rPr>
      </w:pPr>
    </w:p>
    <w:p>
      <w:pPr>
        <w:tabs>
          <w:tab w:val="left" w:pos="7648"/>
        </w:tabs>
        <w:spacing w:before="0" w:line="548" w:lineRule="exact"/>
        <w:ind w:left="511" w:right="0" w:firstLine="0"/>
        <w:jc w:val="center"/>
        <w:rPr>
          <w:rFonts w:ascii="Times New Roman" w:eastAsia="Times New Roman"/>
          <w:b/>
          <w:sz w:val="32"/>
        </w:rPr>
      </w:pPr>
      <w:r>
        <w:rPr>
          <w:rFonts w:hint="eastAsia" w:ascii="Microsoft JhengHei" w:eastAsia="Microsoft JhengHei"/>
          <w:b/>
          <w:sz w:val="32"/>
        </w:rPr>
        <w:t xml:space="preserve">专业学位类别 </w:t>
      </w:r>
      <w:r>
        <w:rPr>
          <w:rFonts w:hint="eastAsia" w:ascii="Microsoft JhengHei" w:eastAsia="Microsoft JhengHei"/>
          <w:b/>
          <w:spacing w:val="13"/>
          <w:sz w:val="32"/>
        </w:rPr>
        <w:t xml:space="preserve"> </w:t>
      </w:r>
      <w:r>
        <w:rPr>
          <w:rFonts w:ascii="Times New Roman" w:eastAsia="Times New Roman"/>
          <w:b/>
          <w:w w:val="99"/>
          <w:sz w:val="32"/>
          <w:u w:val="single"/>
        </w:rPr>
        <w:t xml:space="preserve"> </w:t>
      </w:r>
      <w:r>
        <w:rPr>
          <w:rFonts w:ascii="Times New Roman" w:eastAsia="Times New Roman"/>
          <w:b/>
          <w:sz w:val="32"/>
          <w:u w:val="single"/>
        </w:rPr>
        <w:tab/>
      </w:r>
    </w:p>
    <w:p>
      <w:pPr>
        <w:pStyle w:val="3"/>
        <w:spacing w:before="1"/>
        <w:ind w:left="0"/>
        <w:rPr>
          <w:rFonts w:ascii="Times New Roman"/>
          <w:b/>
          <w:sz w:val="18"/>
        </w:rPr>
      </w:pPr>
    </w:p>
    <w:p>
      <w:pPr>
        <w:tabs>
          <w:tab w:val="left" w:pos="7648"/>
        </w:tabs>
        <w:spacing w:before="0" w:line="548" w:lineRule="exact"/>
        <w:ind w:left="511" w:right="0" w:firstLine="0"/>
        <w:jc w:val="center"/>
        <w:rPr>
          <w:rFonts w:ascii="Times New Roman" w:eastAsia="Times New Roman"/>
          <w:b/>
          <w:sz w:val="32"/>
        </w:rPr>
      </w:pPr>
      <w:r>
        <w:rPr>
          <w:rFonts w:hint="eastAsia" w:ascii="Microsoft JhengHei" w:eastAsia="Microsoft JhengHei"/>
          <w:b/>
          <w:sz w:val="32"/>
        </w:rPr>
        <w:t xml:space="preserve">专业学位领域 </w:t>
      </w:r>
      <w:r>
        <w:rPr>
          <w:rFonts w:hint="eastAsia" w:ascii="Microsoft JhengHei" w:eastAsia="Microsoft JhengHei"/>
          <w:b/>
          <w:spacing w:val="13"/>
          <w:sz w:val="32"/>
        </w:rPr>
        <w:t xml:space="preserve"> </w:t>
      </w:r>
      <w:r>
        <w:rPr>
          <w:rFonts w:ascii="Times New Roman" w:eastAsia="Times New Roman"/>
          <w:b/>
          <w:w w:val="99"/>
          <w:sz w:val="32"/>
          <w:u w:val="single"/>
        </w:rPr>
        <w:t xml:space="preserve"> </w:t>
      </w:r>
      <w:r>
        <w:rPr>
          <w:rFonts w:ascii="Times New Roman" w:eastAsia="Times New Roman"/>
          <w:b/>
          <w:sz w:val="32"/>
          <w:u w:val="single"/>
        </w:rPr>
        <w:tab/>
      </w:r>
    </w:p>
    <w:p>
      <w:pPr>
        <w:pStyle w:val="3"/>
        <w:spacing w:before="1"/>
        <w:ind w:left="0"/>
        <w:rPr>
          <w:rFonts w:ascii="Times New Roman"/>
          <w:b/>
          <w:sz w:val="19"/>
        </w:rPr>
      </w:pPr>
    </w:p>
    <w:p>
      <w:pPr>
        <w:tabs>
          <w:tab w:val="left" w:pos="7769"/>
        </w:tabs>
        <w:spacing w:before="0" w:line="537" w:lineRule="exact"/>
        <w:ind w:left="571" w:right="0" w:firstLine="0"/>
        <w:jc w:val="center"/>
        <w:rPr>
          <w:rFonts w:hint="eastAsia" w:ascii="Microsoft JhengHei" w:eastAsia="Microsoft JhengHei"/>
          <w:b/>
          <w:sz w:val="32"/>
        </w:rPr>
      </w:pPr>
      <w:r>
        <w:rPr>
          <w:rFonts w:hint="eastAsia" w:ascii="Microsoft JhengHei" w:eastAsia="Microsoft JhengHei"/>
          <w:b/>
          <w:w w:val="105"/>
          <w:sz w:val="32"/>
        </w:rPr>
        <w:t>学院(</w:t>
      </w:r>
      <w:r>
        <w:rPr>
          <w:rFonts w:hint="eastAsia" w:ascii="Microsoft JhengHei" w:eastAsia="Microsoft JhengHei"/>
          <w:b/>
          <w:spacing w:val="3"/>
          <w:w w:val="105"/>
          <w:sz w:val="32"/>
        </w:rPr>
        <w:t>系)</w:t>
      </w:r>
      <w:r>
        <w:rPr>
          <w:rFonts w:hint="eastAsia" w:ascii="Microsoft JhengHei" w:eastAsia="Microsoft JhengHei"/>
          <w:b/>
          <w:w w:val="199"/>
          <w:sz w:val="32"/>
          <w:u w:val="single"/>
        </w:rPr>
        <w:t xml:space="preserve"> </w:t>
      </w:r>
      <w:r>
        <w:rPr>
          <w:rFonts w:hint="eastAsia" w:ascii="Microsoft JhengHei" w:eastAsia="Microsoft JhengHei"/>
          <w:b/>
          <w:sz w:val="32"/>
          <w:u w:val="single"/>
        </w:rPr>
        <w:tab/>
      </w:r>
    </w:p>
    <w:p>
      <w:pPr>
        <w:pStyle w:val="3"/>
        <w:spacing w:before="6"/>
        <w:ind w:left="0"/>
        <w:rPr>
          <w:rFonts w:ascii="Microsoft JhengHei"/>
          <w:b/>
          <w:sz w:val="11"/>
        </w:rPr>
      </w:pPr>
    </w:p>
    <w:p>
      <w:pPr>
        <w:tabs>
          <w:tab w:val="left" w:pos="7615"/>
        </w:tabs>
        <w:spacing w:before="0" w:line="548" w:lineRule="exact"/>
        <w:ind w:left="494" w:right="0" w:firstLine="0"/>
        <w:jc w:val="center"/>
        <w:rPr>
          <w:rFonts w:ascii="Times New Roman" w:eastAsia="Times New Roman"/>
          <w:b/>
          <w:sz w:val="32"/>
        </w:rPr>
      </w:pPr>
      <w:r>
        <w:rPr>
          <w:rFonts w:hint="eastAsia" w:ascii="Microsoft JhengHei" w:eastAsia="Microsoft JhengHei"/>
          <w:b/>
          <w:sz w:val="32"/>
        </w:rPr>
        <w:t>实践单</w:t>
      </w:r>
      <w:r>
        <w:rPr>
          <w:rFonts w:hint="eastAsia" w:ascii="Microsoft JhengHei" w:eastAsia="Microsoft JhengHei"/>
          <w:b/>
          <w:spacing w:val="3"/>
          <w:sz w:val="32"/>
        </w:rPr>
        <w:t>位</w:t>
      </w:r>
      <w:r>
        <w:rPr>
          <w:rFonts w:ascii="Times New Roman" w:eastAsia="Times New Roman"/>
          <w:b/>
          <w:sz w:val="32"/>
          <w:u w:val="single"/>
        </w:rPr>
        <w:t xml:space="preserve"> </w:t>
      </w:r>
      <w:r>
        <w:rPr>
          <w:rFonts w:ascii="Times New Roman" w:eastAsia="Times New Roman"/>
          <w:b/>
          <w:sz w:val="32"/>
          <w:u w:val="single"/>
        </w:rPr>
        <w:tab/>
      </w:r>
    </w:p>
    <w:p>
      <w:pPr>
        <w:pStyle w:val="3"/>
        <w:spacing w:before="1"/>
        <w:ind w:left="0"/>
        <w:rPr>
          <w:rFonts w:ascii="Times New Roman"/>
          <w:b/>
          <w:sz w:val="18"/>
        </w:rPr>
      </w:pPr>
    </w:p>
    <w:p>
      <w:pPr>
        <w:tabs>
          <w:tab w:val="left" w:pos="7615"/>
        </w:tabs>
        <w:spacing w:before="0" w:line="548" w:lineRule="exact"/>
        <w:ind w:left="494" w:right="0" w:firstLine="0"/>
        <w:jc w:val="center"/>
        <w:rPr>
          <w:rFonts w:ascii="Times New Roman" w:eastAsia="Times New Roman"/>
          <w:b/>
          <w:sz w:val="32"/>
        </w:rPr>
      </w:pPr>
      <w:r>
        <w:rPr>
          <w:rFonts w:hint="eastAsia" w:ascii="Microsoft JhengHei" w:eastAsia="Microsoft JhengHei"/>
          <w:b/>
          <w:sz w:val="32"/>
        </w:rPr>
        <w:t>实践时</w:t>
      </w:r>
      <w:r>
        <w:rPr>
          <w:rFonts w:hint="eastAsia" w:ascii="Microsoft JhengHei" w:eastAsia="Microsoft JhengHei"/>
          <w:b/>
          <w:spacing w:val="3"/>
          <w:sz w:val="32"/>
        </w:rPr>
        <w:t>间</w:t>
      </w:r>
      <w:r>
        <w:rPr>
          <w:rFonts w:ascii="Times New Roman" w:eastAsia="Times New Roman"/>
          <w:b/>
          <w:sz w:val="32"/>
          <w:u w:val="single"/>
        </w:rPr>
        <w:t xml:space="preserve"> </w:t>
      </w:r>
      <w:r>
        <w:rPr>
          <w:rFonts w:ascii="Times New Roman" w:eastAsia="Times New Roman"/>
          <w:b/>
          <w:sz w:val="32"/>
          <w:u w:val="single"/>
        </w:rPr>
        <w:tab/>
      </w:r>
    </w:p>
    <w:p>
      <w:pPr>
        <w:pStyle w:val="3"/>
        <w:ind w:left="0"/>
        <w:rPr>
          <w:rFonts w:ascii="Times New Roman"/>
          <w:b/>
          <w:sz w:val="19"/>
        </w:rPr>
      </w:pPr>
    </w:p>
    <w:p>
      <w:pPr>
        <w:tabs>
          <w:tab w:val="left" w:pos="2252"/>
          <w:tab w:val="left" w:pos="7768"/>
        </w:tabs>
        <w:spacing w:before="0" w:line="537" w:lineRule="exact"/>
        <w:ind w:left="571" w:right="0" w:firstLine="0"/>
        <w:jc w:val="center"/>
        <w:rPr>
          <w:rFonts w:ascii="Times New Roman" w:eastAsia="Times New Roman"/>
          <w:b/>
          <w:sz w:val="32"/>
        </w:rPr>
      </w:pPr>
      <w:r>
        <w:rPr>
          <w:rFonts w:hint="eastAsia" w:ascii="Microsoft JhengHei" w:eastAsia="Microsoft JhengHei"/>
          <w:b/>
          <w:sz w:val="32"/>
        </w:rPr>
        <w:t>提交日期</w:t>
      </w:r>
      <w:r>
        <w:rPr>
          <w:rFonts w:hint="eastAsia" w:ascii="Microsoft JhengHei" w:eastAsia="Microsoft JhengHei"/>
          <w:b/>
          <w:sz w:val="32"/>
        </w:rPr>
        <w:tab/>
      </w:r>
      <w:r>
        <w:rPr>
          <w:rFonts w:ascii="Times New Roman" w:eastAsia="Times New Roman"/>
          <w:b/>
          <w:w w:val="99"/>
          <w:sz w:val="32"/>
          <w:u w:val="single"/>
        </w:rPr>
        <w:t xml:space="preserve"> </w:t>
      </w:r>
      <w:r>
        <w:rPr>
          <w:rFonts w:ascii="Times New Roman" w:eastAsia="Times New Roman"/>
          <w:b/>
          <w:sz w:val="32"/>
          <w:u w:val="single"/>
        </w:rPr>
        <w:tab/>
      </w:r>
    </w:p>
    <w:p>
      <w:pPr>
        <w:spacing w:after="0" w:line="537" w:lineRule="exact"/>
        <w:jc w:val="center"/>
        <w:rPr>
          <w:rFonts w:ascii="Times New Roman" w:eastAsia="Times New Roman"/>
          <w:sz w:val="32"/>
        </w:rPr>
        <w:sectPr>
          <w:pgSz w:w="11910" w:h="16840"/>
          <w:pgMar w:top="1420" w:right="1220" w:bottom="280" w:left="1220" w:header="720" w:footer="720" w:gutter="0"/>
        </w:sectPr>
      </w:pPr>
    </w:p>
    <w:p>
      <w:pPr>
        <w:pStyle w:val="3"/>
        <w:ind w:left="0"/>
        <w:rPr>
          <w:rFonts w:ascii="Times New Roman"/>
          <w:b/>
          <w:sz w:val="20"/>
        </w:rPr>
      </w:pPr>
    </w:p>
    <w:p>
      <w:pPr>
        <w:pStyle w:val="3"/>
        <w:ind w:left="0"/>
        <w:rPr>
          <w:rFonts w:ascii="Times New Roman"/>
          <w:b/>
          <w:sz w:val="20"/>
        </w:rPr>
      </w:pPr>
    </w:p>
    <w:p>
      <w:pPr>
        <w:pStyle w:val="3"/>
        <w:ind w:left="0"/>
        <w:rPr>
          <w:rFonts w:ascii="Times New Roman"/>
          <w:b/>
          <w:sz w:val="20"/>
        </w:rPr>
      </w:pPr>
    </w:p>
    <w:p>
      <w:pPr>
        <w:pStyle w:val="3"/>
        <w:ind w:left="0"/>
        <w:rPr>
          <w:rFonts w:ascii="Times New Roman"/>
          <w:b/>
          <w:sz w:val="20"/>
        </w:rPr>
      </w:pPr>
    </w:p>
    <w:p>
      <w:pPr>
        <w:pStyle w:val="3"/>
        <w:spacing w:before="6"/>
        <w:ind w:left="0"/>
        <w:rPr>
          <w:rFonts w:ascii="Times New Roman"/>
          <w:b/>
          <w:sz w:val="17"/>
        </w:rPr>
      </w:pPr>
    </w:p>
    <w:p>
      <w:pPr>
        <w:spacing w:before="0" w:line="593" w:lineRule="exact"/>
        <w:ind w:left="1432" w:right="1432" w:firstLine="0"/>
        <w:jc w:val="center"/>
        <w:rPr>
          <w:sz w:val="36"/>
        </w:rPr>
      </w:pPr>
      <w:r>
        <w:rPr>
          <w:rFonts w:hint="eastAsia" w:ascii="Microsoft JhengHei" w:eastAsia="Microsoft JhengHei"/>
          <w:b/>
          <w:sz w:val="36"/>
        </w:rPr>
        <w:t>撰写提纲</w:t>
      </w:r>
      <w:r>
        <w:rPr>
          <w:sz w:val="36"/>
        </w:rPr>
        <w:t>（供参考，不少于 5000 字）</w:t>
      </w:r>
    </w:p>
    <w:p>
      <w:pPr>
        <w:pStyle w:val="3"/>
        <w:ind w:left="0"/>
        <w:rPr>
          <w:sz w:val="36"/>
        </w:rPr>
      </w:pPr>
    </w:p>
    <w:p>
      <w:pPr>
        <w:pStyle w:val="3"/>
        <w:ind w:left="0"/>
        <w:rPr>
          <w:sz w:val="36"/>
        </w:rPr>
      </w:pPr>
    </w:p>
    <w:p>
      <w:pPr>
        <w:pStyle w:val="3"/>
        <w:spacing w:before="10"/>
        <w:ind w:left="0"/>
        <w:rPr>
          <w:sz w:val="37"/>
        </w:rPr>
      </w:pPr>
    </w:p>
    <w:p>
      <w:pPr>
        <w:pStyle w:val="3"/>
      </w:pPr>
      <w:r>
        <w:rPr>
          <w:w w:val="95"/>
        </w:rPr>
        <w:t>一、专业实践概况</w:t>
      </w:r>
    </w:p>
    <w:p>
      <w:pPr>
        <w:pStyle w:val="3"/>
        <w:spacing w:before="191" w:line="350" w:lineRule="auto"/>
        <w:ind w:right="1364"/>
      </w:pPr>
      <w:r>
        <w:t>（简要介绍实践单位/岗位情况、专业实践讫止时间</w:t>
      </w:r>
      <w:r>
        <w:rPr>
          <w:spacing w:val="-15"/>
        </w:rPr>
        <w:t xml:space="preserve">） </w:t>
      </w:r>
      <w:r>
        <w:t>二、专业实践内容</w:t>
      </w:r>
    </w:p>
    <w:p>
      <w:pPr>
        <w:pStyle w:val="3"/>
        <w:spacing w:before="3"/>
      </w:pPr>
      <w:r>
        <w:t>1、实践日志（摘选）</w:t>
      </w:r>
    </w:p>
    <w:p>
      <w:pPr>
        <w:pStyle w:val="3"/>
        <w:spacing w:before="190"/>
      </w:pPr>
      <w:r>
        <w:t>2、实践项目/课题专题介绍</w:t>
      </w:r>
    </w:p>
    <w:p>
      <w:pPr>
        <w:pStyle w:val="3"/>
        <w:spacing w:before="190" w:line="350" w:lineRule="auto"/>
        <w:ind w:right="6165"/>
      </w:pPr>
      <w:r>
        <w:t>3、实践单位评价 三、专业实践成效 1</w:t>
      </w:r>
      <w:r>
        <w:rPr>
          <w:spacing w:val="-3"/>
        </w:rPr>
        <w:t>、对学位论文贡献</w:t>
      </w:r>
    </w:p>
    <w:p>
      <w:pPr>
        <w:pStyle w:val="3"/>
        <w:spacing w:before="4"/>
      </w:pPr>
      <w:r>
        <w:t>2、研究成果</w:t>
      </w:r>
    </w:p>
    <w:p>
      <w:pPr>
        <w:pStyle w:val="3"/>
        <w:spacing w:before="190" w:line="350" w:lineRule="auto"/>
        <w:ind w:right="5205"/>
      </w:pPr>
      <w:r>
        <w:t>3、取得的经济和社会效益四、心得体会</w:t>
      </w:r>
    </w:p>
    <w:p>
      <w:pPr>
        <w:pStyle w:val="3"/>
        <w:spacing w:before="3" w:line="350" w:lineRule="auto"/>
        <w:ind w:right="535"/>
      </w:pPr>
      <w:r>
        <w:t>（简述本人在实践能力提升、综合素质养成、职业发展能力等方面的收获，提出思考和建议）</w:t>
      </w:r>
    </w:p>
    <w:p>
      <w:pPr>
        <w:pStyle w:val="3"/>
        <w:ind w:left="0"/>
      </w:pPr>
    </w:p>
    <w:p>
      <w:pPr>
        <w:pStyle w:val="3"/>
        <w:spacing w:before="218"/>
      </w:pPr>
      <w:r>
        <w:rPr>
          <w:w w:val="99"/>
        </w:rPr>
        <w:t xml:space="preserve"> </w:t>
      </w:r>
      <w:r>
        <w:rPr>
          <w:spacing w:val="-1"/>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rPr>
          <w:spacing w:val="-1"/>
        </w:rPr>
        <w:t xml:space="preserve"> </w:t>
      </w:r>
      <w:r>
        <w:rPr>
          <w:w w:val="99"/>
        </w:rPr>
        <w:t xml:space="preserve"> </w:t>
      </w:r>
      <w:r>
        <w:rPr>
          <w:spacing w:val="-1"/>
        </w:rPr>
        <w:t xml:space="preserve"> </w:t>
      </w:r>
      <w:r>
        <w:rPr>
          <w:w w:val="99"/>
        </w:rPr>
        <w:t xml:space="preserve"> </w:t>
      </w:r>
      <w:r>
        <w:rPr>
          <w:spacing w:val="2"/>
        </w:rPr>
        <w:t xml:space="preserve"> </w:t>
      </w:r>
      <w:r>
        <w:rPr>
          <w:w w:val="99"/>
        </w:rPr>
        <w:t xml:space="preserve"> </w:t>
      </w:r>
      <w:r>
        <w:t xml:space="preserve"> </w:t>
      </w:r>
      <w:r>
        <w:rPr>
          <w:w w:val="99"/>
        </w:rPr>
        <w:t xml:space="preserve"> </w:t>
      </w:r>
    </w:p>
    <w:sectPr>
      <w:pgSz w:w="11910" w:h="16840"/>
      <w:pgMar w:top="1580" w:right="1220" w:bottom="280" w:left="12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2D9E5A6D"/>
    <w:rsid w:val="6E6C3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48" w:lineRule="exact"/>
      <w:ind w:left="571"/>
      <w:jc w:val="center"/>
      <w:outlineLvl w:val="1"/>
    </w:pPr>
    <w:rPr>
      <w:rFonts w:ascii="Microsoft JhengHei" w:hAnsi="Microsoft JhengHei" w:eastAsia="Microsoft JhengHei" w:cs="Microsoft JhengHei"/>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80"/>
    </w:pPr>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6"/>
    <customShpInfo spid="_x0000_s1029"/>
    <customShpInfo spid="_x0000_s1031"/>
    <customShpInfo spid="_x0000_s1032"/>
    <customShpInfo spid="_x0000_s1030"/>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2020-04-16T00:53:00Z</dcterms:created>
  <dc:creator>Dell</dc:creator>
  <cp:lastModifiedBy>应小鱼</cp:lastModifiedBy>
  <dcterms:modified xsi:type="dcterms:W3CDTF">2021-03-01T07:45:06Z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Microsoft® Word 2016</vt:lpwstr>
  </property>
  <property fmtid="{D5CDD505-2E9C-101B-9397-08002B2CF9AE}" pid="4" name="LastSaved">
    <vt:filetime>2020-04-16T00:00:00Z</vt:filetime>
  </property>
  <property fmtid="{D5CDD505-2E9C-101B-9397-08002B2CF9AE}" pid="5" name="KSOProductBuildVer">
    <vt:lpwstr>2052-11.1.0.10314</vt:lpwstr>
  </property>
</Properties>
</file>